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FE79CD" w:rsidP="002B262E">
            <w:pPr>
              <w:ind w:right="-6"/>
              <w:jc w:val="both"/>
            </w:pPr>
            <w:r>
              <w:t>Didaktika (e-mācības)</w:t>
            </w:r>
            <w:r w:rsidR="00F42C08">
              <w:t>.</w:t>
            </w:r>
          </w:p>
          <w:p w:rsidR="00F42C08" w:rsidRPr="00ED5798" w:rsidRDefault="00F42C08" w:rsidP="002B262E">
            <w:pPr>
              <w:ind w:right="-6"/>
              <w:jc w:val="both"/>
              <w:rPr>
                <w:color w:val="FF0000"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ED5798" w:rsidRDefault="00644C61" w:rsidP="007E229E">
            <w:pPr>
              <w:jc w:val="both"/>
            </w:pPr>
            <w:r w:rsidRPr="00ED5798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FE79CD" w:rsidP="002B262E">
            <w:pPr>
              <w:jc w:val="both"/>
            </w:pPr>
            <w:r w:rsidRPr="00FE79CD">
              <w:t>Programma paredzēta V</w:t>
            </w:r>
            <w:r>
              <w:t>alsts robežsardzes un Valsts robežsardzes koledžas</w:t>
            </w:r>
            <w:r w:rsidRPr="00FE79CD">
              <w:t xml:space="preserve"> amatpersonām, kuras organizē un vada nodarbības saskaņā ar </w:t>
            </w:r>
            <w:r w:rsidR="008C2EF7" w:rsidRPr="008C2EF7">
              <w:t>Valsts robežsardzes koledžas</w:t>
            </w:r>
            <w:r w:rsidRPr="00FE79CD">
              <w:t xml:space="preserve"> izstrādātajām profesionālās pilnveides izglītības programmām un kvalifikācijas paaugstināšanas programmām un Valsts robežsardzes amatpersonām, kuras organizē un vada profesionālās apmācības teorētiskās un praktiskās nodarbības saskaņā ar </w:t>
            </w:r>
            <w:r w:rsidR="008C2EF7" w:rsidRPr="00FE79CD">
              <w:t>V</w:t>
            </w:r>
            <w:r w:rsidR="008C2EF7">
              <w:t xml:space="preserve">alsts robežsardzes </w:t>
            </w:r>
            <w:r w:rsidRPr="00FE79CD">
              <w:t>30.10.2012. iekšējiem noteikumiem Nr.26 „Noteikumi par kvalifikācijas paaugstināšanu un profesionālo apmācību”.</w:t>
            </w:r>
          </w:p>
          <w:p w:rsidR="00F42C08" w:rsidRPr="00ED5798" w:rsidRDefault="00F42C08" w:rsidP="002B262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F42C08" w:rsidRPr="00ED5798" w:rsidRDefault="00C258FB" w:rsidP="00ED5798">
            <w:pPr>
              <w:pStyle w:val="BodyText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C258FB">
              <w:rPr>
                <w:sz w:val="24"/>
                <w:szCs w:val="24"/>
              </w:rPr>
              <w:t xml:space="preserve">niegt </w:t>
            </w:r>
            <w:r w:rsidR="00D40FBF" w:rsidRPr="00D40FBF">
              <w:rPr>
                <w:sz w:val="24"/>
                <w:szCs w:val="24"/>
              </w:rPr>
              <w:t>amatpersonām teorētiskās zināšanas par pedagoģijas nozari - didaktiku, tās pamatprincipiem; kā arī praktiski darbojoties veidot iemaņas mācību darba organizēšanā: mācību plānošanā, organizācijā un vadīšanā.</w:t>
            </w: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ED5798" w:rsidRDefault="00C258FB">
            <w:pPr>
              <w:jc w:val="both"/>
              <w:rPr>
                <w:bCs/>
              </w:rPr>
            </w:pPr>
            <w:r>
              <w:t>5 nedēļas</w:t>
            </w:r>
            <w:r w:rsidR="00DB3804" w:rsidRPr="00ED5798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ED5798" w:rsidRDefault="00DB3804" w:rsidP="00F5277B">
            <w:pPr>
              <w:jc w:val="both"/>
            </w:pPr>
            <w:r w:rsidRPr="00ED5798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ED5798" w:rsidRDefault="002A0AC8" w:rsidP="00D47BD2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Līdz 10</w:t>
            </w:r>
            <w:bookmarkStart w:id="0" w:name="_GoBack"/>
            <w:bookmarkEnd w:id="0"/>
          </w:p>
          <w:p w:rsidR="00D47BD2" w:rsidRPr="00ED5798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9064C0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ED5798">
              <w:rPr>
                <w:bCs/>
              </w:rPr>
              <w:t>V</w:t>
            </w:r>
            <w:r w:rsidR="009C09ED" w:rsidRPr="00ED5798">
              <w:rPr>
                <w:bCs/>
              </w:rPr>
              <w:t>alsts robežsardzes koledžas</w:t>
            </w:r>
            <w:r w:rsidRPr="00ED5798">
              <w:rPr>
                <w:bCs/>
              </w:rPr>
              <w:t xml:space="preserve"> apliecība</w:t>
            </w:r>
            <w:r w:rsidR="001A3A6B" w:rsidRPr="00ED5798">
              <w:rPr>
                <w:bCs/>
              </w:rPr>
              <w:t>.</w:t>
            </w:r>
          </w:p>
          <w:p w:rsidR="009064C0" w:rsidRPr="00ED5798" w:rsidRDefault="009064C0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ED5798" w:rsidRDefault="00D40FBF" w:rsidP="00D40FBF">
            <w:pPr>
              <w:jc w:val="both"/>
              <w:rPr>
                <w:b/>
                <w:bCs/>
              </w:rPr>
            </w:pPr>
            <w:r>
              <w:t>Valsts robežsardzes</w:t>
            </w:r>
            <w:r>
              <w:t xml:space="preserve"> </w:t>
            </w:r>
            <w:r>
              <w:t>23.04.2024</w:t>
            </w:r>
            <w:r>
              <w:t xml:space="preserve">. </w:t>
            </w:r>
            <w:r>
              <w:t>pavēl</w:t>
            </w:r>
            <w:r>
              <w:t>e</w:t>
            </w:r>
            <w:r>
              <w:t xml:space="preserve"> Nr.23.1-8.4/631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A3A6B"/>
    <w:rsid w:val="001F5E53"/>
    <w:rsid w:val="0022037C"/>
    <w:rsid w:val="002A0AC8"/>
    <w:rsid w:val="002B262E"/>
    <w:rsid w:val="002F2D53"/>
    <w:rsid w:val="00325473"/>
    <w:rsid w:val="00430C95"/>
    <w:rsid w:val="00533A0D"/>
    <w:rsid w:val="005E2FD0"/>
    <w:rsid w:val="00611040"/>
    <w:rsid w:val="00616FB5"/>
    <w:rsid w:val="00625869"/>
    <w:rsid w:val="00644C61"/>
    <w:rsid w:val="00684AF1"/>
    <w:rsid w:val="006F5786"/>
    <w:rsid w:val="00723865"/>
    <w:rsid w:val="00786A29"/>
    <w:rsid w:val="007B5099"/>
    <w:rsid w:val="007E229E"/>
    <w:rsid w:val="0088499E"/>
    <w:rsid w:val="008A358C"/>
    <w:rsid w:val="008B70B3"/>
    <w:rsid w:val="008C2EF7"/>
    <w:rsid w:val="008F4349"/>
    <w:rsid w:val="008F77AD"/>
    <w:rsid w:val="009064C0"/>
    <w:rsid w:val="009078AF"/>
    <w:rsid w:val="00920A1C"/>
    <w:rsid w:val="00974F2D"/>
    <w:rsid w:val="009C09ED"/>
    <w:rsid w:val="00A164CB"/>
    <w:rsid w:val="00A520FE"/>
    <w:rsid w:val="00AA1662"/>
    <w:rsid w:val="00BD3550"/>
    <w:rsid w:val="00C258FB"/>
    <w:rsid w:val="00C26012"/>
    <w:rsid w:val="00C8344A"/>
    <w:rsid w:val="00C8352C"/>
    <w:rsid w:val="00D40FBF"/>
    <w:rsid w:val="00D47BD2"/>
    <w:rsid w:val="00D85867"/>
    <w:rsid w:val="00DB3804"/>
    <w:rsid w:val="00E21020"/>
    <w:rsid w:val="00E30473"/>
    <w:rsid w:val="00E92252"/>
    <w:rsid w:val="00EA5AFE"/>
    <w:rsid w:val="00ED5798"/>
    <w:rsid w:val="00F17878"/>
    <w:rsid w:val="00F42C08"/>
    <w:rsid w:val="00F5277B"/>
    <w:rsid w:val="00FA6D14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D461C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10</cp:revision>
  <dcterms:created xsi:type="dcterms:W3CDTF">2022-12-02T07:44:00Z</dcterms:created>
  <dcterms:modified xsi:type="dcterms:W3CDTF">2024-04-23T08:33:00Z</dcterms:modified>
</cp:coreProperties>
</file>